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E3B33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Phelan</w:t>
      </w:r>
    </w:p>
    <w:p w:rsidR="000E3B33" w:rsidRDefault="000E3B33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0E3B33" w:rsidRPr="000E3B33" w:rsidRDefault="000E3B33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F2F0CBF" wp14:editId="46AD8B85">
            <wp:extent cx="9077325" cy="62293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E3B33" w:rsidRPr="000E3B33" w:rsidSect="000E3B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33"/>
    <w:rsid w:val="000E3B33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AC6E-5689-454F-BB8E-B625C27A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168 Homes</a:t>
            </a:r>
            <a:r>
              <a:rPr lang="en-US" baseline="0"/>
              <a:t> Sold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7</c:v>
                </c:pt>
                <c:pt idx="2">
                  <c:v>11</c:v>
                </c:pt>
                <c:pt idx="3">
                  <c:v>12</c:v>
                </c:pt>
                <c:pt idx="4">
                  <c:v>22</c:v>
                </c:pt>
                <c:pt idx="5">
                  <c:v>20</c:v>
                </c:pt>
                <c:pt idx="6">
                  <c:v>23</c:v>
                </c:pt>
                <c:pt idx="7">
                  <c:v>19</c:v>
                </c:pt>
                <c:pt idx="8">
                  <c:v>10</c:v>
                </c:pt>
                <c:pt idx="9">
                  <c:v>17</c:v>
                </c:pt>
                <c:pt idx="10">
                  <c:v>16</c:v>
                </c:pt>
                <c:pt idx="11">
                  <c:v>5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8210048"/>
        <c:axId val="368208480"/>
        <c:axId val="0"/>
      </c:bar3DChart>
      <c:catAx>
        <c:axId val="36821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208480"/>
        <c:crosses val="autoZero"/>
        <c:auto val="1"/>
        <c:lblAlgn val="ctr"/>
        <c:lblOffset val="100"/>
        <c:noMultiLvlLbl val="0"/>
      </c:catAx>
      <c:valAx>
        <c:axId val="368208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821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0.16159</cdr:x>
      <cdr:y>0.12997</cdr:y>
    </cdr:from>
    <cdr:to>
      <cdr:x>0.51312</cdr:x>
      <cdr:y>0.21101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809625"/>
          <a:ext cx="31908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4,042</a:t>
          </a:r>
          <a:r>
            <a:rPr lang="en-US" sz="1100"/>
            <a:t> - Average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0.16055</cdr:x>
      <cdr:y>0.19266</cdr:y>
    </cdr:from>
    <cdr:to>
      <cdr:x>0.52151</cdr:x>
      <cdr:y>0.2737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200150"/>
          <a:ext cx="32766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3,344</a:t>
          </a:r>
          <a:r>
            <a:rPr lang="en-US" sz="1100"/>
            <a:t> - Year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0.16055</cdr:x>
      <cdr:y>0.25382</cdr:y>
    </cdr:from>
    <cdr:to>
      <cdr:x>0.50682</cdr:x>
      <cdr:y>0.33486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581150"/>
          <a:ext cx="314325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2,885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2005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0.16159</cdr:x>
      <cdr:y>0.31651</cdr:y>
    </cdr:from>
    <cdr:to>
      <cdr:x>0.54774</cdr:x>
      <cdr:y>0.40061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971675"/>
          <a:ext cx="35052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2,636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0.16264</cdr:x>
      <cdr:y>0.38073</cdr:y>
    </cdr:from>
    <cdr:to>
      <cdr:x>0.51836</cdr:x>
      <cdr:y>0.45719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371725"/>
          <a:ext cx="32289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2,217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0.16159</cdr:x>
      <cdr:y>0.44495</cdr:y>
    </cdr:from>
    <cdr:to>
      <cdr:x>0.53095</cdr:x>
      <cdr:y>0.52294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71775"/>
          <a:ext cx="335280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2,439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0.16159</cdr:x>
      <cdr:y>0.50459</cdr:y>
    </cdr:from>
    <cdr:to>
      <cdr:x>0.52886</cdr:x>
      <cdr:y>0.58563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143250"/>
          <a:ext cx="333375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2,088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0.16264</cdr:x>
      <cdr:y>0.56728</cdr:y>
    </cdr:from>
    <cdr:to>
      <cdr:x>0.50472</cdr:x>
      <cdr:y>0.64526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33775"/>
          <a:ext cx="31051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1,861</a:t>
          </a:r>
          <a:r>
            <a:rPr lang="en-US" sz="1100"/>
            <a:t> 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0.16159</cdr:x>
      <cdr:y>0.62844</cdr:y>
    </cdr:from>
    <cdr:to>
      <cdr:x>0.51207</cdr:x>
      <cdr:y>0.70948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914775"/>
          <a:ext cx="318135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1,546</a:t>
          </a:r>
          <a:r>
            <a:rPr lang="en-US" sz="1100"/>
            <a:t> - Average Year Built </a:t>
          </a:r>
          <a:r>
            <a:rPr lang="en-US" sz="1100" b="1"/>
            <a:t>1987</a:t>
          </a:r>
        </a:p>
      </cdr:txBody>
    </cdr:sp>
  </cdr:relSizeAnchor>
  <cdr:relSizeAnchor xmlns:cdr="http://schemas.openxmlformats.org/drawingml/2006/chartDrawing">
    <cdr:from>
      <cdr:x>0.16264</cdr:x>
      <cdr:y>0.69113</cdr:y>
    </cdr:from>
    <cdr:to>
      <cdr:x>0.48478</cdr:x>
      <cdr:y>0.77217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305300"/>
          <a:ext cx="29241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1,403</a:t>
          </a:r>
          <a:r>
            <a:rPr lang="en-US" sz="1100" baseline="0"/>
            <a:t> - Average Year Built </a:t>
          </a:r>
          <a:r>
            <a:rPr lang="en-US" sz="1100" b="1" baseline="0"/>
            <a:t>1981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0.16159</cdr:x>
      <cdr:y>0.75535</cdr:y>
    </cdr:from>
    <cdr:to>
      <cdr:x>0.49213</cdr:x>
      <cdr:y>0.83333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705350"/>
          <a:ext cx="30003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1,369</a:t>
          </a:r>
          <a:r>
            <a:rPr lang="en-US" sz="1100" baseline="0"/>
            <a:t> - Average Year Built </a:t>
          </a:r>
          <a:r>
            <a:rPr lang="en-US" sz="1100" b="1" baseline="0"/>
            <a:t>1985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0.16055</cdr:x>
      <cdr:y>0.81498</cdr:y>
    </cdr:from>
    <cdr:to>
      <cdr:x>0.52151</cdr:x>
      <cdr:y>0.89602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57325" y="5076825"/>
          <a:ext cx="32766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1,382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0.16159</cdr:x>
      <cdr:y>0.87615</cdr:y>
    </cdr:from>
    <cdr:to>
      <cdr:x>0.50052</cdr:x>
      <cdr:y>0.95719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457825"/>
          <a:ext cx="30765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1,258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0.16055</cdr:x>
      <cdr:y>0.93884</cdr:y>
    </cdr:from>
    <cdr:to>
      <cdr:x>0.51312</cdr:x>
      <cdr:y>0.99541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57325" y="5848350"/>
          <a:ext cx="32004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1,224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2018-01-25T00:29:00Z</dcterms:created>
  <dcterms:modified xsi:type="dcterms:W3CDTF">2018-01-25T00:38:00Z</dcterms:modified>
</cp:coreProperties>
</file>